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125</w:t>
      </w:r>
    </w:p>
    <w:p>
      <w:r>
        <w:t>Bundesgericht (BGE), 1986-12-11, DE</w:t>
      </w:r>
    </w:p>
    <w:p>
      <w:r>
        <w:rPr>
          <w:b/>
        </w:rPr>
        <w:t xml:space="preserve">Quelle: </w:t>
      </w:r>
      <w:r>
        <w:t>https://mcp.opencaselaw.ch/entscheid/bge_112 IV 125</w:t>
      </w:r>
    </w:p>
    <w:p>
      <w:r>
        <w:t>FR: ATF 112 IV 125</w:t>
      </w:r>
    </w:p>
    <w:p>
      <w:r>
        <w:t>IT: DTF 112 IV 125</w:t>
      </w:r>
    </w:p>
    <w:p>
      <w:pPr>
        <w:pStyle w:val="Heading2"/>
      </w:pPr>
      <w:r>
        <w:t>Regeste</w:t>
      </w:r>
    </w:p>
    <w:p>
      <w:r>
        <w:t>Regeste Art. 20a ff. UWG; Art. 3 Abs. 1 der Verordnung über die Bekanntgabe von Preisen. Wer in Katalogen, Inseraten und/oder auf Plakaten die Kunden auffordert, über die Preise zu verhandeln bzw. nach dem Tagestiefstpreis zu fragen, und damit nachdrücklich die Bereitschaft bekundet, die angebotenen Waren unter gewissen Voraussetzungen zu Preisen zu verkaufen, die unter den bei den Waren angegebenen Preisen liegen, verstösst gegen Art. 3 Abs. 1 PBV, wonach für Waren, die dem Letztverbraucher zum Kauf angeboten werden, der tatsächlich zu bezahlende Preis bekanntzugeben ist (E. 2 und 4).</w:t>
      </w:r>
    </w:p>
    <w:p>
      <w:pPr>
        <w:pStyle w:val="Heading2"/>
      </w:pPr>
      <w:r>
        <w:t>Erwägungen</w:t>
      </w:r>
    </w:p>
    <w:p>
      <w:r>
        <w:rPr>
          <w:b/>
        </w:rPr>
        <w:t>E. 2</w:t>
      </w:r>
    </w:p>
    <w:p>
      <w:r>
        <w:t>Gemäss Art. 3 Abs. 1 der V über die Bekanntgabe von Preisen vom 11. Dezember 1978 (PBV; SR 942.211) ist für Waren, die dem Letztverbraucher zum Kauf angeboten werden, der tatsächlich zu bezahlende Preis in Schweizerfranken (Detailpreis) bekanntzugeben (siehe auch Art. 20a Abs. 1 UWG ). Detail- und Grundpreise müssen durch Anschrift auf der Ware selbst oder unmittelbar daneben (Anschrift, Aufdruck, Etikette, Preisschild usw.) bekanntgegeben werden ( Art. 7 Abs. 1 PBV ). Aus der Bekanntgabe muss hervorgehen, auf welches Produkt und welche Verkaufseinheit sich der Detailpreis bezieht ( Art. 9 Abs. 1 PBV ). Werden in der Werbung Preise aufgeführt oder bezifferte Hinweise auf Preisrahmen oder Preisgrenzen gemacht, so sind die tatsächlich zu bezahlenden Preise bekanntzugeben ( Art. 13 Abs. 1 PBV ) und muss aus der Preisbekanntgabe deutlich hervorgehen, auf welche Ware und Verkaufseinheit sich der Preis bezieht ( Art. 14 Abs. 1 PBV ). BGE 112 IV 125 S. 127 Die Preisbekanntgabeverordnung regelt nicht ausdrücklich die Fälle, in denen gegenüber verschiedenen Kunden für die gleichen Waren unterschiedliche Preise gehandhabt werden. Wie in solchen Fällen die Preise anzuschreiben sind, ist vorliegend nicht zu entscheiden. Die Fa. X. gab im Katalog, in Zeitungsinseraten und auf Plakaten im Innern des Geschäftslokals mit verschiedenen Slogans nachdrücklich und unmissverständlich ihre Bereitschaft kund, die angebotenen Waren zu Preisen zu verkaufen, die in einem unbestimmten, erst noch auszuhandelnden Ausmass unter den angeschriebenen Preisen lagen, und sie forderte sämtliche Kunden auf, nach dem Tagestiefstpreis zu fragen bzw. über den Preis zu verhandeln, wozu sie ihre Hilfe anbot. Damit hatten die bei den Waren angegebenen Preise nach der zutreffenden Auffassung der Vorinstanz weitgehend nur noch die Funktion von Richtpreisen und waren sie daher nicht die tatsächlich zu bezahlenden Preise im Sinne von Art. 3 Abs. 1 PBV . Daran vermag entgegen der Auffassung des Beschwerdeführers nichts zu ändern, dass angeblich der "gewöhnliche" bzw. "durchschnittlich passive" Kunde von der ihm gebotenen Möglichkeit trotz der eindringlichen Aufforderung und der dazu angebotenen "Hilfe" der Fa. X. nicht Gebrauch machte. Das Vorgehen des Beschwerdeführers, das geeignet war, Kunden in das Geschäftslokal zu locken, welche aufgrund der Slogans ("määrte") auf vergleichsweise hohe Preisabschläge hofften, darin aber bei Rabatten von durchschnittlich 2-5% enttäuscht wurden, war keine den Versteigerungen oder Auktionen ähnliche Veranstaltung, bei der gemäss Art. 3 Abs. 3 PBV die Pflicht zur Angabe des tatsächlich zu zahlenden Preises entfällt. Unter die ähnlichen Veranstaltungen im Sinne dieser Bestimmung fallen gemäss der Wegleitung des BIGA vom 29. Juni 1979 zur Preisbekanntgabeverordnung "Verkaufsveranstaltungen, bei denen die Preise und die Eigenschaften der Ware ausgerufen werden (Marktfahrer, Warendemonstranten usw.)".</w:t>
      </w:r>
    </w:p>
    <w:p>
      <w:r>
        <w:rPr>
          <w:b/>
        </w:rPr>
        <w:t>E. 4</w:t>
      </w:r>
    </w:p>
    <w:p>
      <w:r>
        <w:t>Der Beschwerdeführer macht geltend, die von der Fa. X. in der Werbung verwendeten Slogans ("Wär besser määrtet, kauft günschtiger i" usw.) stellten unbezifferte Hinweise auf mögliche Preisreduktionen dar, die nicht unter Art. 17 PBV fielen, welcher lediglich die bezifferten Hinweise auf Preisreduktion betreffe, und sie seien gemäss der bundesgerichtlichen Rechtsprechung zulässig. Der Einwand ist unbegründet. a) Der Kassationshof hatte in BGE 108 IV 129 ff., auf den sich der Beschwerdeführer beruft, ein Zeitungsinserat des Inhalts BGE 112 IV 125 S. 128 "Riesen-Resten-Markt, Reduktionen bis 92%" als unzulässig erachtet, da in Fällen, in denen nicht ein einheitlicher Reduktionssatz gewährt wird, bei Angabe von Zahlen gemäss Art. 17 Abs. 2 1 . Satz PBV die Pflicht zur Preisbekanntgabe und zur Spezifizierung besteht. Der Anbieter, der auf verschiedenen Waren unterschiedliche Reduktionssätze gewährt, in der Werbung jedoch nicht die verbilligten Waren spezifizieren und die herabgesetzten Preise angeben will, muss gemäss BGE 108 IV 129 ff. demnach auf die Angabe von Ziffern verzichten und sich auf einen unbezifferten Hinweis (z.B. "teilweise erhebliche Preisreduktionen") beschränken. In dem dem erwähnten Bundesgerichtsentscheid zugrunde liegenden Fall war dem Anbieter im Unterschied zum vorliegenden Fall nicht vorgeworfen worden, dass er es unterlassen habe, an den Waren selbst die tatsächlich zu bezahlenden, reduzierten Preise anzugeben, und stand daher die Frage der Preisanschrift gemäss Art. 3 PBV nicht zur Diskussion. b) Die grundlegende Pflicht, die tatsächlich zu zahlenden Preise durch Anschrift an der Ware selbst oder unmittelbar daneben oder in anderer, leicht zugänglicher und gut lesbarer Form bekanntzugeben ( Art. 3 Abs. 1 und Art. 7 PBV ), besteht auch dann, wenn in der Werbung mit oder ohne Ziffern auf Preisreduktionen hingewiesen wird. Aus der Zulässigkeit unbezifferter Hinweise auf Preisreduktionen in der Werbung gemäss BGE 108 IV 129 ff. kann nicht die Zulässigkeit von Hinweisen auf unbestimmte, erst noch auszuhandelnde Preisreduktionen und damit die Befreiung von der Preisanschriftspflicht gemäss Art. 3 Abs. 1 PBV abgeleitet werden. Der Beschwerdeführer stellt zu Unrecht die nach der Rechtsprechung unter dem Gesichtspunkt der Preisbekanntgabeverordnung zulässigen unbezifferten Hinweise auf Preisreduktionen den Hinweisen auf unbestimmte, erst noch auszuhandelnde Preisreduktionen gleich.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